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1"/>
        </w:rPr>
        <w:t>关于开展201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21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21"/>
        </w:rPr>
        <w:t>年度温州市少年宫校外教育实践研究成果论文评比活动通知</w:t>
      </w:r>
    </w:p>
    <w:p>
      <w:pPr>
        <w:pStyle w:val="5"/>
        <w:spacing w:line="24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各部室：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为提高校外教育队伍的教育理论和实践研究水平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进一步发挥教育科学研究在校外教育创新发展过程中的先导性作用，提升校外教育创新能力，激发校外教育改革活力，提炼校外教育科学研究经验，促进校外教育内涵发展和质量提升，推动校外教育事业科学发展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经研究，决定开展2018年度温州市少年宫校外教育实践研究成果论文评比活动，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一、参加对象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少年宫全体在职员工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撰写形式及内容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形式：学术论文、调查报告、实验报告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（不含课题开题、结题报告）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，以及教学经验总结、教学案例反思等。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类型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根据论文内容可分为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综合管理类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（含课程建设、德育工作、其他管理）；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艺术教育类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（含美术教育、声乐舞蹈器乐教育、其他艺术教育）；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科技教育类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体育、户外营地教育及其他综合活动类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论文要求具有校外教育特点，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紧贴校外教育实际，结合个人工作岗位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、上报要求及评比事项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上报时间：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2019年2月24日前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（二）上报要求：登记表电子稿和论文电子稿使用word文档，以文件夹（以个人姓名命名文件夹，如：张三）压缩包形式发送至邮箱（249439661@qq.com或</w:t>
      </w:r>
      <w:r>
        <w:rPr>
          <w:rFonts w:hint="eastAsia" w:ascii="仿宋" w:hAnsi="仿宋" w:eastAsia="仿宋" w:cs="仿宋"/>
          <w:sz w:val="32"/>
          <w:szCs w:val="32"/>
        </w:rPr>
        <w:t>wzssngjy@163.com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论文字数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3000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－5000字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为宜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控制在10000字以内。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（三）论文撰写要求：符合文体特征，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要包含“摘要”“关键词”“参考文献”。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具体格式见附件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根据上交的论文质量评出一、二、三等奖及优秀奖，并给予奖励。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本通知及附件的电子版可从温州市少年宫网站www.wzsng.com“通知”栏下载。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1.2018年度（个人）科研成果论文登记表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1876" w:leftChars="760" w:hanging="280" w:hangingChars="100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2.2018年度温州市少年宫校外教育论文评比格式要求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1876" w:leftChars="760" w:hanging="280" w:hangingChars="100"/>
        <w:jc w:val="left"/>
        <w:textAlignment w:val="baseline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3.2018年度温州市少年宫校外教育研究课题指南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baseline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baseline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baseline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温州市少年宫    </w:t>
      </w:r>
    </w:p>
    <w:p>
      <w:pPr>
        <w:jc w:val="righ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2018年8月26日</w:t>
      </w: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atLeast"/>
        <w:ind w:right="-32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附件1</w:t>
      </w:r>
    </w:p>
    <w:p>
      <w:pPr>
        <w:pStyle w:val="5"/>
        <w:spacing w:line="360" w:lineRule="auto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温州市少年宫201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36"/>
          <w:szCs w:val="36"/>
        </w:rPr>
        <w:t>年度（个人）科研成果论文登记表</w:t>
      </w:r>
    </w:p>
    <w:tbl>
      <w:tblPr>
        <w:tblStyle w:val="9"/>
        <w:tblpPr w:leftFromText="180" w:rightFromText="180" w:vertAnchor="text" w:horzAnchor="page" w:tblpX="1657" w:tblpY="128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689"/>
        <w:gridCol w:w="2225"/>
        <w:gridCol w:w="252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研究类型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（综合、艺术、科技或其他）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作品标题</w:t>
            </w:r>
          </w:p>
        </w:tc>
        <w:tc>
          <w:tcPr>
            <w:tcW w:w="6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spacing w:line="240" w:lineRule="auto"/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9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容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提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要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（300字以内）</w:t>
            </w:r>
          </w:p>
        </w:tc>
        <w:tc>
          <w:tcPr>
            <w:tcW w:w="7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0" w:num="1"/>
          <w:rtlGutter w:val="0"/>
          <w:docGrid w:type="lines" w:linePitch="317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3"/>
        <w:jc w:val="center"/>
        <w:rPr>
          <w:rFonts w:hint="eastAsia" w:asciiTheme="majorEastAsia" w:hAnsiTheme="majorEastAsia" w:eastAsiaTheme="majorEastAsia" w:cstheme="majorEastAsia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</w:rPr>
        <w:t>2018年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度温州市少年宫</w:t>
      </w:r>
      <w:r>
        <w:rPr>
          <w:rFonts w:hint="eastAsia" w:asciiTheme="majorEastAsia" w:hAnsiTheme="majorEastAsia" w:eastAsiaTheme="majorEastAsia" w:cstheme="majorEastAsia"/>
          <w:sz w:val="40"/>
          <w:szCs w:val="40"/>
        </w:rPr>
        <w:t>校外教育论文格式要求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420" w:firstLineChars="200"/>
        <w:textAlignment w:val="baseline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论文包括标题、摘要、关键词、正文、参考文献几部分，论文中不能出现显示作者个人身份的相关信息。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论文标题采用黑体三号字，居中；副标题采用楷体小三号字，居中；正文采用宋体小四，1.5倍行距，标准页边距。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ind w:firstLine="640" w:firstLineChars="200"/>
        <w:textAlignment w:val="baseline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9"/>
        <w:rPr>
          <w:rFonts w:hint="eastAsia" w:ascii="仿宋" w:hAnsi="仿宋" w:eastAsia="仿宋" w:cs="仿宋"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例：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jc w:val="center"/>
        <w:textAlignment w:val="baseline"/>
        <w:outlineLvl w:val="9"/>
        <w:rPr>
          <w:rFonts w:hint="eastAsia" w:ascii="仿宋" w:hAnsi="仿宋" w:eastAsia="仿宋" w:cs="仿宋"/>
          <w:sz w:val="28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参考文献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[1]周义仓.数学建模实验[M].西安：西安交通大学出版社，1997.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[2]何龄修.读顾城《南明史》[J].中国史研究，1998，（3）：167-173.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textAlignment w:val="baseline"/>
        <w:outlineLvl w:val="9"/>
        <w:rPr>
          <w:rFonts w:hint="eastAsia" w:ascii="仿宋" w:hAnsi="仿宋" w:eastAsia="仿宋" w:cs="仿宋"/>
          <w:sz w:val="28"/>
          <w:szCs w:val="24"/>
        </w:rPr>
      </w:pPr>
      <w:r>
        <w:rPr>
          <w:rFonts w:hint="eastAsia" w:ascii="仿宋" w:hAnsi="仿宋" w:eastAsia="仿宋" w:cs="仿宋"/>
          <w:sz w:val="28"/>
          <w:szCs w:val="24"/>
        </w:rPr>
        <w:t>[3]谢希德.创造学习的新思路[N].人民日报，1998-12-25（10）.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sz w:val="40"/>
          <w:szCs w:val="18"/>
        </w:rPr>
      </w:pPr>
      <w:r>
        <w:rPr>
          <w:rFonts w:hint="eastAsia"/>
          <w:sz w:val="40"/>
          <w:szCs w:val="18"/>
          <w:lang w:val="en-US" w:eastAsia="zh-CN"/>
        </w:rPr>
        <w:t>201</w:t>
      </w:r>
      <w:bookmarkStart w:id="0" w:name="_GoBack"/>
      <w:r>
        <w:rPr>
          <w:rFonts w:hint="eastAsia"/>
          <w:sz w:val="40"/>
          <w:szCs w:val="18"/>
          <w:lang w:val="en-US" w:eastAsia="zh-CN"/>
        </w:rPr>
        <w:t>8年度温州市少年宫校外教育研究课题指南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 xml:space="preserve">未成年人校外活动场所改革与发展策略研究 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 xml:space="preserve">未成年人校外活动场所用人管理制度和方法的创新研究 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 xml:space="preserve">未成年人校外活动场所区域化研究职能作用发挥研究 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</w:rPr>
        <w:t>青少年宫优质发展路径研究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</w:rPr>
        <w:t>青少年宫研究职能(或指导职能)作用发挥研究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eastAsia="仿宋_GB2312"/>
          <w:sz w:val="28"/>
          <w:szCs w:val="28"/>
        </w:rPr>
        <w:t>青少年校外德育活动创新研究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sz w:val="28"/>
          <w:szCs w:val="28"/>
        </w:rPr>
        <w:t>校外活动（如童玩空间、流动少年宫、夏令营等）评价标准操作研究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8.</w:t>
      </w:r>
      <w:r>
        <w:rPr>
          <w:rFonts w:hint="eastAsia" w:ascii="仿宋_GB2312" w:eastAsia="仿宋_GB2312"/>
          <w:sz w:val="28"/>
          <w:szCs w:val="28"/>
        </w:rPr>
        <w:t>校外教育与学校拓展性课程建设探索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eastAsia="仿宋_GB2312"/>
          <w:sz w:val="28"/>
          <w:szCs w:val="28"/>
        </w:rPr>
        <w:t>青少年宫社团建设和创新研究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eastAsia="仿宋_GB2312"/>
          <w:sz w:val="28"/>
          <w:szCs w:val="28"/>
        </w:rPr>
        <w:t>青少年兴趣培养活动跨项目融合发展的探索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eastAsia="仿宋_GB2312"/>
          <w:sz w:val="28"/>
          <w:szCs w:val="28"/>
        </w:rPr>
        <w:t>校外教育专业培训活动室的创新研究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12.</w:t>
      </w:r>
      <w:r>
        <w:rPr>
          <w:rFonts w:hint="eastAsia" w:ascii="仿宋_GB2312" w:eastAsia="仿宋_GB2312"/>
          <w:sz w:val="28"/>
          <w:szCs w:val="28"/>
        </w:rPr>
        <w:t>传统文化在校外文化艺术教育中传播方法与途径研究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13.</w:t>
      </w:r>
      <w:r>
        <w:rPr>
          <w:rFonts w:hint="eastAsia" w:ascii="仿宋_GB2312" w:eastAsia="仿宋_GB2312"/>
          <w:sz w:val="28"/>
          <w:szCs w:val="28"/>
        </w:rPr>
        <w:t>红领巾学院建设与管理研究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14.</w:t>
      </w:r>
      <w:r>
        <w:rPr>
          <w:rFonts w:hint="eastAsia" w:ascii="仿宋_GB2312" w:eastAsia="仿宋_GB2312"/>
          <w:sz w:val="28"/>
          <w:szCs w:val="28"/>
        </w:rPr>
        <w:t>校外少先队活动品牌创建研究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15.</w:t>
      </w:r>
      <w:r>
        <w:rPr>
          <w:rFonts w:hint="eastAsia" w:ascii="仿宋_GB2312" w:eastAsia="仿宋_GB2312"/>
          <w:sz w:val="28"/>
          <w:szCs w:val="28"/>
        </w:rPr>
        <w:t>“网上少先队”建设研究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16.</w:t>
      </w:r>
      <w:r>
        <w:rPr>
          <w:rFonts w:hint="eastAsia" w:ascii="仿宋_GB2312" w:eastAsia="仿宋_GB2312"/>
          <w:sz w:val="28"/>
          <w:szCs w:val="28"/>
        </w:rPr>
        <w:t>互联网+校外教育专业活动的应用研究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17.</w:t>
      </w:r>
      <w:r>
        <w:rPr>
          <w:rFonts w:hint="eastAsia" w:ascii="仿宋_GB2312" w:eastAsia="仿宋_GB2312"/>
          <w:sz w:val="28"/>
          <w:szCs w:val="28"/>
        </w:rPr>
        <w:t>青少年网络活动的创新和推广研究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18.</w:t>
      </w:r>
      <w:r>
        <w:rPr>
          <w:rFonts w:hint="eastAsia" w:ascii="仿宋_GB2312" w:eastAsia="仿宋_GB2312"/>
          <w:sz w:val="28"/>
          <w:szCs w:val="28"/>
        </w:rPr>
        <w:t>校外教育（市级）教研团队建设探索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19.</w:t>
      </w:r>
      <w:r>
        <w:rPr>
          <w:rFonts w:hint="eastAsia" w:ascii="仿宋_GB2312" w:eastAsia="仿宋_GB2312"/>
          <w:sz w:val="28"/>
          <w:szCs w:val="28"/>
        </w:rPr>
        <w:t>校外教育教师专业能力发展研究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20.</w:t>
      </w:r>
      <w:r>
        <w:rPr>
          <w:rFonts w:hint="eastAsia" w:ascii="仿宋_GB2312" w:eastAsia="仿宋_GB2312"/>
          <w:sz w:val="28"/>
          <w:szCs w:val="28"/>
        </w:rPr>
        <w:t xml:space="preserve">青少年校外教育现代教育技术应用研究 </w:t>
      </w:r>
    </w:p>
    <w:p>
      <w:pPr>
        <w:numPr>
          <w:ilvl w:val="0"/>
          <w:numId w:val="0"/>
        </w:numPr>
        <w:spacing w:after="120" w:afterLines="50" w:line="240" w:lineRule="auto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21.</w:t>
      </w:r>
      <w:r>
        <w:rPr>
          <w:rFonts w:hint="eastAsia" w:ascii="仿宋_GB2312" w:eastAsia="仿宋_GB2312"/>
          <w:sz w:val="28"/>
          <w:szCs w:val="28"/>
        </w:rPr>
        <w:t xml:space="preserve">校外教育教师信息化素养提升研究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93CC5"/>
    <w:rsid w:val="0B193CC5"/>
    <w:rsid w:val="2AB85466"/>
    <w:rsid w:val="492A26E0"/>
    <w:rsid w:val="656E3735"/>
    <w:rsid w:val="6CE00A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2018-08-21T00:35:00Z</dcterms:created>
  <dc:creator>lsqfmsinacom</dc:creator>
  <cp:lastModifiedBy>lsqfmsinacom</cp:lastModifiedBy>
  <dcterms:modified xsi:type="dcterms:W3CDTF">2018-08-26T07:50:32Z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